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49C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33D35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6E5579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B3548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5751A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lang w:val="en-US" w:eastAsia="zh-CN" w:bidi="ar"/>
        </w:rPr>
      </w:pPr>
    </w:p>
    <w:p w14:paraId="7D3720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lang w:val="en-US" w:eastAsia="zh-CN" w:bidi="ar"/>
        </w:rPr>
      </w:pPr>
    </w:p>
    <w:p w14:paraId="5FC4969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color w:val="000000"/>
          <w:kern w:val="0"/>
          <w:sz w:val="32"/>
          <w:szCs w:val="32"/>
          <w:lang w:val="en-US" w:eastAsia="zh-CN" w:bidi="ar"/>
        </w:rPr>
      </w:pPr>
    </w:p>
    <w:p w14:paraId="59CBCA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台政办字〔2024〕6号</w:t>
      </w:r>
    </w:p>
    <w:p w14:paraId="6A55BF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FE39F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台儿庄区</w:t>
      </w:r>
      <w:r>
        <w:rPr>
          <w:rFonts w:ascii="方正小标宋简体" w:hAnsi="方正小标宋简体" w:eastAsia="方正小标宋简体" w:cs="方正小标宋简体"/>
          <w:color w:val="000000"/>
          <w:kern w:val="0"/>
          <w:sz w:val="44"/>
          <w:szCs w:val="44"/>
          <w:lang w:val="en-US" w:eastAsia="zh-CN" w:bidi="ar"/>
        </w:rPr>
        <w:t>人民政府办公室</w:t>
      </w:r>
    </w:p>
    <w:p w14:paraId="52E4C1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关于成立台儿庄区专门教育指导委员会的</w:t>
      </w:r>
    </w:p>
    <w:p w14:paraId="4DBE74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通  知</w:t>
      </w:r>
    </w:p>
    <w:p w14:paraId="191855D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1DEF29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各镇人民政府，运河街道办事处，经济开发区，区直各部门单位，各人民团体、各大企业：</w:t>
      </w:r>
    </w:p>
    <w:p w14:paraId="065DF3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为加强全区专门学校建设及专门教育工作的组织领导和统筹协调，区政府决定成立台儿庄区专门教育指导委员会，作为区委教育工作领导小组下设专项小组。现将有关事项通知如下。</w:t>
      </w:r>
    </w:p>
    <w:p w14:paraId="57A6C4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一、主要职责</w:t>
      </w:r>
    </w:p>
    <w:p w14:paraId="7BAF365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认真贯彻落实《预防未成年人犯罪法》规定要求和《山东省人民政府办公厅关于印发山东省建设专门学校开展专门教育工作方案（试行）的通知》（鲁政办发〔2023〕15号）、《山东省人民政府办公厅关于成立山东省专门教育指导委员会的通知》（鲁政办字〔2023〕182号）、《枣庄市人民政府办公室关于成立枣庄市专门教育指导委员会的通知》（枣政办字〔2024〕14号）等文件精神，对专门教育工作进行规划研究，拟定全区专门教育工作方案并抓好组织实施；指导对具有严重不良行为未成年人予以教育矫治；指导将专门学校建设纳入教育发展规划体系，督促推进专门学校建设；协调落实专门教育和专门学校建设经费；指导做好专门学校教学、管理、评价等工作。</w:t>
      </w:r>
    </w:p>
    <w:p w14:paraId="67CB33F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二、委员会成员</w:t>
      </w:r>
    </w:p>
    <w:p w14:paraId="6DCA19B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主  任：</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李秋菊   区政府副区长 </w:t>
      </w:r>
    </w:p>
    <w:p w14:paraId="0E81BD7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副主任：</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 xml:space="preserve">任  敏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区政府办公室副主任 </w:t>
      </w:r>
    </w:p>
    <w:p w14:paraId="1E947DA3">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赵庆军   区教育和体育局局长 </w:t>
      </w:r>
    </w:p>
    <w:p w14:paraId="1F2166B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成  员：</w:t>
      </w: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李  锋</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区委政法委副书记 </w:t>
      </w:r>
    </w:p>
    <w:p w14:paraId="6E917CEB">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张  丹   团区委副书记</w:t>
      </w:r>
    </w:p>
    <w:p w14:paraId="1C44BA20">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唐文卓   区妇联副主席</w:t>
      </w:r>
    </w:p>
    <w:p w14:paraId="70C8E16E">
      <w:pPr>
        <w:keepNext w:val="0"/>
        <w:keepLines w:val="0"/>
        <w:pageBreakBefore w:val="0"/>
        <w:widowControl/>
        <w:suppressLineNumbers w:val="0"/>
        <w:kinsoku/>
        <w:wordWrap/>
        <w:overflowPunct/>
        <w:topLinePunct w:val="0"/>
        <w:autoSpaceDE/>
        <w:autoSpaceDN/>
        <w:bidi w:val="0"/>
        <w:adjustRightInd/>
        <w:snapToGrid/>
        <w:spacing w:line="560" w:lineRule="exact"/>
        <w:ind w:left="1915" w:leftChars="912" w:firstLine="0" w:firstLineChars="0"/>
        <w:jc w:val="left"/>
        <w:textAlignment w:val="auto"/>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刘林林   区法院党组成员、审判委员会专职委员路新生   区检察院党组副书记、副检察长</w:t>
      </w:r>
    </w:p>
    <w:p w14:paraId="4AEEF4CC">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于洪连   区公安分局四级高级警长</w:t>
      </w:r>
    </w:p>
    <w:p w14:paraId="381D7773">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马  腾   区教育和体育局副局长</w:t>
      </w:r>
    </w:p>
    <w:p w14:paraId="539871B3">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周  媛   区司法局党组成员、政治部主任</w:t>
      </w:r>
    </w:p>
    <w:p w14:paraId="4EF4FD1E">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韩邦广   区财政局副局长</w:t>
      </w:r>
    </w:p>
    <w:p w14:paraId="57D74B74">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张  亚   区人力资源和社会保障局副局长</w:t>
      </w:r>
    </w:p>
    <w:p w14:paraId="103B93B4">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张  琳   区社会救助综合服务中心副主任</w:t>
      </w:r>
    </w:p>
    <w:p w14:paraId="61784843">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孙  敏   区关心下一代工作事务中心主任</w:t>
      </w:r>
    </w:p>
    <w:p w14:paraId="10F52ED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委员会办公室设在区教育和体育局，负责联络协调、提出工作建议、督办议定事项等，马腾兼任办公室主任。委员会各成员单位职责由委员会决定，并根据工作需要及时调整。</w:t>
      </w:r>
    </w:p>
    <w:p w14:paraId="7A6637A1">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671B68C4">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445D2220">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台儿庄区人民政府办公室 </w:t>
      </w:r>
    </w:p>
    <w:p w14:paraId="03498DA8">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2024年6月29</w:t>
      </w:r>
      <w:bookmarkStart w:id="0" w:name="_GoBack"/>
      <w:bookmarkEnd w:id="0"/>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日 </w:t>
      </w:r>
    </w:p>
    <w:p w14:paraId="71F9BCB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（此件公开发布）</w:t>
      </w:r>
    </w:p>
    <w:sectPr>
      <w:footerReference r:id="rId3" w:type="default"/>
      <w:pgSz w:w="11906" w:h="16838"/>
      <w:pgMar w:top="2154" w:right="1474" w:bottom="2041" w:left="1587" w:header="851"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4E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21A4C">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321A4C">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YTgwMDJiNTVkMjdlMjhhOTM0OWY3NGI0NjI4ZDIifQ=="/>
  </w:docVars>
  <w:rsids>
    <w:rsidRoot w:val="00000000"/>
    <w:rsid w:val="01EB61AB"/>
    <w:rsid w:val="032A3A7F"/>
    <w:rsid w:val="0514442E"/>
    <w:rsid w:val="05C8467F"/>
    <w:rsid w:val="07AA2823"/>
    <w:rsid w:val="0A465A40"/>
    <w:rsid w:val="129B48EA"/>
    <w:rsid w:val="18E762A1"/>
    <w:rsid w:val="19F93B67"/>
    <w:rsid w:val="2C7566AC"/>
    <w:rsid w:val="2EDB2EBB"/>
    <w:rsid w:val="2FCA40FB"/>
    <w:rsid w:val="301B574A"/>
    <w:rsid w:val="34F0427B"/>
    <w:rsid w:val="392E47B3"/>
    <w:rsid w:val="3ACD6B2E"/>
    <w:rsid w:val="3D344218"/>
    <w:rsid w:val="3EED24C4"/>
    <w:rsid w:val="40F426CC"/>
    <w:rsid w:val="44222864"/>
    <w:rsid w:val="45F563A9"/>
    <w:rsid w:val="4AF36F1D"/>
    <w:rsid w:val="4C5E73F3"/>
    <w:rsid w:val="4EB12CCA"/>
    <w:rsid w:val="544C644F"/>
    <w:rsid w:val="56F62E45"/>
    <w:rsid w:val="580C29EA"/>
    <w:rsid w:val="61C834B5"/>
    <w:rsid w:val="61D24B21"/>
    <w:rsid w:val="62EF4425"/>
    <w:rsid w:val="6AF76A6D"/>
    <w:rsid w:val="72382A91"/>
    <w:rsid w:val="77196332"/>
    <w:rsid w:val="7BE6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772</Words>
  <Characters>791</Characters>
  <Lines>0</Lines>
  <Paragraphs>0</Paragraphs>
  <TotalTime>33</TotalTime>
  <ScaleCrop>false</ScaleCrop>
  <LinksUpToDate>false</LinksUpToDate>
  <CharactersWithSpaces>870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2024-06-20T02:08:00Z</dcterms:created>
  <dc:creator>lenovo</dc:creator>
  <cp:lastModifiedBy>WPS_1615422432</cp:lastModifiedBy>
  <cp:lastPrinted>2024-07-17T02:59:31Z</cp:lastPrinted>
  <dcterms:modified xsi:type="dcterms:W3CDTF">2024-07-17T03:02:27Z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6F66B8F33A9248A5846AA5D161C62A93_13</vt:lpwstr>
  </property>
</Properties>
</file>